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Методические рекомендации урока информатики на тему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«Отношения между объектами»</w:t>
      </w:r>
    </w:p>
    <w:p w:rsidR="00000000" w:rsidDel="00000000" w:rsidP="00000000" w:rsidRDefault="00000000" w:rsidRPr="00000000" w14:paraId="00000003">
      <w:pPr>
        <w:pageBreakBefore w:val="0"/>
        <w:jc w:val="both"/>
        <w:rPr>
          <w:rFonts w:ascii="Times New Roman" w:cs="Times New Roman" w:eastAsia="Times New Roman" w:hAnsi="Times New Roman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Место урока в структуре курса: </w:t>
      </w:r>
    </w:p>
    <w:p w:rsidR="00000000" w:rsidDel="00000000" w:rsidP="00000000" w:rsidRDefault="00000000" w:rsidRPr="00000000" w14:paraId="00000005">
      <w:pPr>
        <w:pageBreakBefore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Урок проводится в 3 классе в 4 четверти. Урок входит в главу «Мир объектов».</w:t>
      </w:r>
    </w:p>
    <w:p w:rsidR="00000000" w:rsidDel="00000000" w:rsidP="00000000" w:rsidRDefault="00000000" w:rsidRPr="00000000" w14:paraId="00000006">
      <w:pPr>
        <w:pageBreakBefore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Количество часов на изучение темы: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1 час</w:t>
      </w:r>
    </w:p>
    <w:p w:rsidR="00000000" w:rsidDel="00000000" w:rsidP="00000000" w:rsidRDefault="00000000" w:rsidRPr="00000000" w14:paraId="00000008">
      <w:pPr>
        <w:pageBreakBefore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Уровень подготовки, необходимый для успешного изучения темы:</w:t>
      </w:r>
    </w:p>
    <w:p w:rsidR="00000000" w:rsidDel="00000000" w:rsidP="00000000" w:rsidRDefault="00000000" w:rsidRPr="00000000" w14:paraId="0000000A">
      <w:pPr>
        <w:pageBreakBefore w:val="0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Обучающиеся должны</w:t>
      </w:r>
    </w:p>
    <w:p w:rsidR="00000000" w:rsidDel="00000000" w:rsidP="00000000" w:rsidRDefault="00000000" w:rsidRPr="00000000" w14:paraId="0000000B">
      <w:pPr>
        <w:pageBreakBefore w:val="0"/>
        <w:tabs>
          <w:tab w:val="left" w:leader="none" w:pos="7515"/>
        </w:tabs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знать: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что такое объект, свойства и функции объекта</w:t>
      </w:r>
    </w:p>
    <w:p w:rsidR="00000000" w:rsidDel="00000000" w:rsidP="00000000" w:rsidRDefault="00000000" w:rsidRPr="00000000" w14:paraId="0000000C">
      <w:pPr>
        <w:pageBreakBefore w:val="0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уметь: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выполнять задания по инструкции, работать в программе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Paint </w:t>
      </w:r>
    </w:p>
    <w:p w:rsidR="00000000" w:rsidDel="00000000" w:rsidP="00000000" w:rsidRDefault="00000000" w:rsidRPr="00000000" w14:paraId="0000000D">
      <w:pPr>
        <w:pageBreakBefore w:val="0"/>
        <w:ind w:left="708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обладать способами действий: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работать в паре, работать самостоятельно</w:t>
      </w:r>
    </w:p>
    <w:p w:rsidR="00000000" w:rsidDel="00000000" w:rsidP="00000000" w:rsidRDefault="00000000" w:rsidRPr="00000000" w14:paraId="0000000E">
      <w:pPr>
        <w:pageBreakBefore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Перечень компетенций и умений преподавателя:</w:t>
      </w:r>
    </w:p>
    <w:p w:rsidR="00000000" w:rsidDel="00000000" w:rsidP="00000000" w:rsidRDefault="00000000" w:rsidRPr="00000000" w14:paraId="00000010">
      <w:pPr>
        <w:pageBreakBefore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ОК 2. Организовывать собственную деятельность, определять способы, контролировать и оценивать решение профессиональных задач.</w:t>
      </w:r>
    </w:p>
    <w:p w:rsidR="00000000" w:rsidDel="00000000" w:rsidP="00000000" w:rsidRDefault="00000000" w:rsidRPr="00000000" w14:paraId="00000011">
      <w:pPr>
        <w:pageBreakBefore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ОК 3. Оценивать риски и принимать решения в нестандартных ситуациях.</w:t>
      </w:r>
    </w:p>
    <w:p w:rsidR="00000000" w:rsidDel="00000000" w:rsidP="00000000" w:rsidRDefault="00000000" w:rsidRPr="00000000" w14:paraId="00000012">
      <w:pPr>
        <w:pageBreakBefore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ОК 5. Использовать информационно-коммуникационные технологии для совершенствования профессиональной деятельности.</w:t>
      </w:r>
    </w:p>
    <w:p w:rsidR="00000000" w:rsidDel="00000000" w:rsidP="00000000" w:rsidRDefault="00000000" w:rsidRPr="00000000" w14:paraId="00000013">
      <w:pPr>
        <w:pageBreakBefore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ОК 11. Строить профессиональную деятельность с соблюдением правовых норм ее регулирующих.</w:t>
      </w:r>
    </w:p>
    <w:p w:rsidR="00000000" w:rsidDel="00000000" w:rsidP="00000000" w:rsidRDefault="00000000" w:rsidRPr="00000000" w14:paraId="00000014">
      <w:pPr>
        <w:pageBreakBefore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ПК 1.1. Определять цели и задачи, планировать уроки.</w:t>
      </w:r>
    </w:p>
    <w:p w:rsidR="00000000" w:rsidDel="00000000" w:rsidP="00000000" w:rsidRDefault="00000000" w:rsidRPr="00000000" w14:paraId="00000015">
      <w:pPr>
        <w:pageBreakBefore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ПК 1.2. Проводить уроки.</w:t>
      </w:r>
    </w:p>
    <w:p w:rsidR="00000000" w:rsidDel="00000000" w:rsidP="00000000" w:rsidRDefault="00000000" w:rsidRPr="00000000" w14:paraId="00000016">
      <w:pPr>
        <w:pageBreakBefore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ПК 1.3. Осуществлять педагогический контроль, оценивать процесс и результаты обучения.</w:t>
      </w:r>
    </w:p>
    <w:p w:rsidR="00000000" w:rsidDel="00000000" w:rsidP="00000000" w:rsidRDefault="00000000" w:rsidRPr="00000000" w14:paraId="00000017">
      <w:pPr>
        <w:pageBreakBefore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Риски: </w:t>
      </w:r>
    </w:p>
    <w:tbl>
      <w:tblPr>
        <w:tblStyle w:val="Table1"/>
        <w:tblW w:w="8420.0" w:type="dxa"/>
        <w:jc w:val="left"/>
        <w:tblInd w:w="-288.0" w:type="dxa"/>
        <w:tblLayout w:type="fixed"/>
        <w:tblLook w:val="0400"/>
      </w:tblPr>
      <w:tblGrid>
        <w:gridCol w:w="2806"/>
        <w:gridCol w:w="2807"/>
        <w:gridCol w:w="2807"/>
        <w:tblGridChange w:id="0">
          <w:tblGrid>
            <w:gridCol w:w="2806"/>
            <w:gridCol w:w="2807"/>
            <w:gridCol w:w="280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1C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Этап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1D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Риски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1E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Общие риски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1F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1. Организационный момент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0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Орг. момент может затянутся</w:t>
            </w:r>
          </w:p>
        </w:tc>
        <w:tc>
          <w:tcPr>
            <w:vMerge w:val="restart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1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Отсутствие учебников</w:t>
            </w:r>
          </w:p>
          <w:p w:rsidR="00000000" w:rsidDel="00000000" w:rsidP="00000000" w:rsidRDefault="00000000" w:rsidRPr="00000000" w14:paraId="00000022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Отсутствие электричества</w:t>
            </w:r>
          </w:p>
          <w:p w:rsidR="00000000" w:rsidDel="00000000" w:rsidP="00000000" w:rsidRDefault="00000000" w:rsidRPr="00000000" w14:paraId="00000023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Отсутствие ТСО</w:t>
            </w:r>
          </w:p>
          <w:p w:rsidR="00000000" w:rsidDel="00000000" w:rsidP="00000000" w:rsidRDefault="00000000" w:rsidRPr="00000000" w14:paraId="00000024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Вся теория вероятностей</w:t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5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2. Мотивация к учебной деятельности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6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Мотивация может не сработать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7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4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8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3. Актуализация знаний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9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Обучающиеся могут не вспомнить необходимые материалы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A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6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B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4. Изучение нового.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C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Обучающиеся могут не понять материал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D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E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5. Итог. Рефлексия учебной деятельности на уроке.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2F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Обучающиеся могут не успеть выполнить задания.</w:t>
            </w:r>
          </w:p>
        </w:tc>
        <w:tc>
          <w:tcPr>
            <w:vMerge w:val="continue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 w:val="clear"/>
            <w:tcMar>
              <w:top w:w="72.0" w:type="dxa"/>
              <w:left w:w="144.0" w:type="dxa"/>
              <w:bottom w:w="72.0" w:type="dxa"/>
              <w:right w:w="144.0" w:type="dxa"/>
            </w:tcMar>
          </w:tcPr>
          <w:p w:rsidR="00000000" w:rsidDel="00000000" w:rsidP="00000000" w:rsidRDefault="00000000" w:rsidRPr="00000000" w14:paraId="00000030">
            <w:pPr>
              <w:pageBreakBefore w:val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pageBreakBefore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jc w:val="both"/>
        <w:rPr>
          <w:rFonts w:ascii="Times New Roman" w:cs="Times New Roman" w:eastAsia="Times New Roman" w:hAnsi="Times New Roman"/>
          <w:i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Риск с заданием на карточках.</w:t>
      </w:r>
    </w:p>
    <w:p w:rsidR="00000000" w:rsidDel="00000000" w:rsidP="00000000" w:rsidRDefault="00000000" w:rsidRPr="00000000" w14:paraId="00000033">
      <w:pPr>
        <w:pageBreakBefore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Указаны города и даты их основания, в том числе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до нашей эры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 На уроке возникло затруднение, т.к. дети не проходили летоисчисление.</w:t>
      </w:r>
    </w:p>
    <w:p w:rsidR="00000000" w:rsidDel="00000000" w:rsidP="00000000" w:rsidRDefault="00000000" w:rsidRPr="00000000" w14:paraId="00000034">
      <w:pPr>
        <w:pageBreakBefore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8"/>
          <w:szCs w:val="28"/>
          <w:rtl w:val="0"/>
        </w:rPr>
        <w:t xml:space="preserve">Решение: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не включать города, которые основаны до нашей эры.</w:t>
      </w:r>
    </w:p>
    <w:p w:rsidR="00000000" w:rsidDel="00000000" w:rsidP="00000000" w:rsidRDefault="00000000" w:rsidRPr="00000000" w14:paraId="00000035">
      <w:pPr>
        <w:pageBreakBefore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Перечень наглядного и раздаточного дидактического материала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: презентация, карточки с заданиями.</w:t>
      </w:r>
    </w:p>
    <w:p w:rsidR="00000000" w:rsidDel="00000000" w:rsidP="00000000" w:rsidRDefault="00000000" w:rsidRPr="00000000" w14:paraId="00000037">
      <w:pPr>
        <w:pageBreakBefore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Характер заданий: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творческий, репродуктивный</w:t>
      </w:r>
    </w:p>
    <w:p w:rsidR="00000000" w:rsidDel="00000000" w:rsidP="00000000" w:rsidRDefault="00000000" w:rsidRPr="00000000" w14:paraId="00000039">
      <w:pPr>
        <w:pageBreakBefore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Техническое оборудование: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ПК для учителя + ПК для обучающихся, проектор, интерактивная доска / приставка.</w:t>
      </w:r>
    </w:p>
    <w:p w:rsidR="00000000" w:rsidDel="00000000" w:rsidP="00000000" w:rsidRDefault="00000000" w:rsidRPr="00000000" w14:paraId="0000003C">
      <w:pPr>
        <w:pageBreakBefore w:val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Описание предварительной работы педагога:</w:t>
      </w:r>
    </w:p>
    <w:p w:rsidR="00000000" w:rsidDel="00000000" w:rsidP="00000000" w:rsidRDefault="00000000" w:rsidRPr="00000000" w14:paraId="0000003E">
      <w:pPr>
        <w:pageBreakBefore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Учитель разрабатывает конструкт урока, составляет интерактивные задания и задания на карточках, создаёт презентацию.</w:t>
      </w:r>
    </w:p>
    <w:p w:rsidR="00000000" w:rsidDel="00000000" w:rsidP="00000000" w:rsidRDefault="00000000" w:rsidRPr="00000000" w14:paraId="0000003F">
      <w:pPr>
        <w:pageBreakBefore w:val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pPr/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>
      <w:pPr/>
      <w:rPr/>
      <w:tcPr>
        <w:tcMar>
          <w:top w:w="0.0" w:type="dxa"/>
          <w:left w:w="115.0" w:type="dxa"/>
          <w:bottom w:w="0.0" w:type="dxa"/>
          <w:right w:w="115.0" w:type="dxa"/>
        </w:tcMar>
      </w:tcPr>
    </w:tblStylePr>
    <w:tblStylePr w:type="band1Vert">
      <w:pPr/>
      <w:rPr/>
      <w:tcPr>
        <w:tcMar>
          <w:top w:w="0.0" w:type="dxa"/>
          <w:left w:w="115.0" w:type="dxa"/>
          <w:bottom w:w="0.0" w:type="dxa"/>
          <w:right w:w="115.0" w:type="dxa"/>
        </w:tcMar>
      </w:tcPr>
    </w:tblStylePr>
    <w:tblStylePr w:type="band2Horz">
      <w:pPr/>
      <w:rPr/>
      <w:tcPr>
        <w:tcMar>
          <w:top w:w="0.0" w:type="dxa"/>
          <w:left w:w="115.0" w:type="dxa"/>
          <w:bottom w:w="0.0" w:type="dxa"/>
          <w:right w:w="115.0" w:type="dxa"/>
        </w:tcMar>
      </w:tcPr>
    </w:tblStylePr>
    <w:tblStylePr w:type="band2Vert">
      <w:pPr/>
      <w:rPr/>
      <w:tcPr>
        <w:tcMar>
          <w:top w:w="0.0" w:type="dxa"/>
          <w:left w:w="115.0" w:type="dxa"/>
          <w:bottom w:w="0.0" w:type="dxa"/>
          <w:right w:w="115.0" w:type="dxa"/>
        </w:tcMar>
      </w:tcPr>
    </w:tblStylePr>
    <w:tblStylePr w:type="firstCol">
      <w:pPr/>
      <w:rPr/>
      <w:tcPr>
        <w:tcMar>
          <w:top w:w="0.0" w:type="dxa"/>
          <w:left w:w="115.0" w:type="dxa"/>
          <w:bottom w:w="0.0" w:type="dxa"/>
          <w:right w:w="115.0" w:type="dxa"/>
        </w:tcMar>
      </w:tcPr>
    </w:tblStylePr>
    <w:tblStylePr w:type="firstRow">
      <w:pPr/>
      <w:rPr/>
      <w:tcPr>
        <w:tcMar>
          <w:top w:w="0.0" w:type="dxa"/>
          <w:left w:w="115.0" w:type="dxa"/>
          <w:bottom w:w="0.0" w:type="dxa"/>
          <w:right w:w="115.0" w:type="dxa"/>
        </w:tcMar>
      </w:tcPr>
    </w:tblStylePr>
    <w:tblStylePr w:type="lastCol">
      <w:pPr/>
      <w:rPr/>
      <w:tcPr>
        <w:tcMar>
          <w:top w:w="0.0" w:type="dxa"/>
          <w:left w:w="115.0" w:type="dxa"/>
          <w:bottom w:w="0.0" w:type="dxa"/>
          <w:right w:w="115.0" w:type="dxa"/>
        </w:tcMar>
      </w:tcPr>
    </w:tblStylePr>
    <w:tblStylePr w:type="lastRow">
      <w:pPr/>
      <w:rPr/>
      <w:tcPr>
        <w:tcMar>
          <w:top w:w="0.0" w:type="dxa"/>
          <w:left w:w="115.0" w:type="dxa"/>
          <w:bottom w:w="0.0" w:type="dxa"/>
          <w:right w:w="115.0" w:type="dxa"/>
        </w:tcMar>
      </w:tcPr>
    </w:tblStylePr>
    <w:tblStylePr w:type="neCell">
      <w:pPr/>
      <w:rPr/>
      <w:tcPr>
        <w:tcMar>
          <w:top w:w="0.0" w:type="dxa"/>
          <w:left w:w="115.0" w:type="dxa"/>
          <w:bottom w:w="0.0" w:type="dxa"/>
          <w:right w:w="115.0" w:type="dxa"/>
        </w:tcMar>
      </w:tcPr>
    </w:tblStylePr>
    <w:tblStylePr w:type="nwCell">
      <w:pPr/>
      <w:rPr/>
      <w:tcPr>
        <w:tcMar>
          <w:top w:w="0.0" w:type="dxa"/>
          <w:left w:w="115.0" w:type="dxa"/>
          <w:bottom w:w="0.0" w:type="dxa"/>
          <w:right w:w="115.0" w:type="dxa"/>
        </w:tcMar>
      </w:tcPr>
    </w:tblStylePr>
    <w:tblStylePr w:type="seCell">
      <w:pPr/>
      <w:rPr/>
      <w:tcPr>
        <w:tcMar>
          <w:top w:w="0.0" w:type="dxa"/>
          <w:left w:w="115.0" w:type="dxa"/>
          <w:bottom w:w="0.0" w:type="dxa"/>
          <w:right w:w="115.0" w:type="dxa"/>
        </w:tcMar>
      </w:tcPr>
    </w:tblStylePr>
    <w:tblStylePr w:type="swCell">
      <w:pPr/>
      <w:rPr/>
      <w:tcPr>
        <w:tcMar>
          <w:top w:w="0.0" w:type="dxa"/>
          <w:left w:w="115.0" w:type="dxa"/>
          <w:bottom w:w="0.0" w:type="dxa"/>
          <w:right w:w="115.0" w:type="dxa"/>
        </w:tcMar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